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540" w:rsidRPr="00EA3190" w:rsidRDefault="00064649" w:rsidP="00EA3190">
      <w:pPr>
        <w:spacing w:line="360" w:lineRule="auto"/>
        <w:rPr>
          <w:sz w:val="24"/>
          <w:szCs w:val="24"/>
        </w:rPr>
      </w:pPr>
      <w:r>
        <w:rPr>
          <w:sz w:val="24"/>
          <w:szCs w:val="24"/>
        </w:rPr>
        <w:t xml:space="preserve">Załącznik nr </w:t>
      </w:r>
      <w:bookmarkStart w:id="0" w:name="_GoBack"/>
      <w:bookmarkEnd w:id="0"/>
    </w:p>
    <w:p w:rsidR="00B1440B" w:rsidRPr="00EA3190" w:rsidRDefault="00B1440B" w:rsidP="00EA3190">
      <w:pPr>
        <w:spacing w:line="360" w:lineRule="auto"/>
        <w:rPr>
          <w:sz w:val="24"/>
          <w:szCs w:val="24"/>
        </w:rPr>
      </w:pPr>
      <w:r w:rsidRPr="00EA3190">
        <w:rPr>
          <w:sz w:val="24"/>
          <w:szCs w:val="24"/>
        </w:rPr>
        <w:t>Opis przedmiotu zamówienia</w:t>
      </w:r>
    </w:p>
    <w:p w:rsidR="00B1440B" w:rsidRPr="00EA3190" w:rsidRDefault="00B1440B" w:rsidP="00EA3190">
      <w:pPr>
        <w:pStyle w:val="Akapitzlist"/>
        <w:numPr>
          <w:ilvl w:val="0"/>
          <w:numId w:val="1"/>
        </w:numPr>
        <w:spacing w:line="360" w:lineRule="auto"/>
        <w:rPr>
          <w:sz w:val="24"/>
          <w:szCs w:val="24"/>
        </w:rPr>
      </w:pPr>
      <w:r w:rsidRPr="00EA3190">
        <w:rPr>
          <w:sz w:val="24"/>
          <w:szCs w:val="24"/>
        </w:rPr>
        <w:t>Oznaczenie kodu CPV- Wspólnego Słownika Zamówień</w:t>
      </w:r>
    </w:p>
    <w:p w:rsidR="00B1440B" w:rsidRPr="00EA3190" w:rsidRDefault="00B1440B" w:rsidP="00EA3190">
      <w:pPr>
        <w:pStyle w:val="Akapitzlist"/>
        <w:spacing w:line="360" w:lineRule="auto"/>
        <w:rPr>
          <w:sz w:val="24"/>
          <w:szCs w:val="24"/>
        </w:rPr>
      </w:pPr>
      <w:r w:rsidRPr="00EA3190">
        <w:rPr>
          <w:sz w:val="24"/>
          <w:szCs w:val="24"/>
        </w:rPr>
        <w:t>452 619 00-3- Naprawa i konserwacja dachu</w:t>
      </w:r>
    </w:p>
    <w:p w:rsidR="00B1440B" w:rsidRPr="00EA3190" w:rsidRDefault="00B1440B" w:rsidP="00EA3190">
      <w:pPr>
        <w:pStyle w:val="Akapitzlist"/>
        <w:spacing w:line="360" w:lineRule="auto"/>
        <w:rPr>
          <w:sz w:val="24"/>
          <w:szCs w:val="24"/>
        </w:rPr>
      </w:pPr>
      <w:r w:rsidRPr="00EA3190">
        <w:rPr>
          <w:sz w:val="24"/>
          <w:szCs w:val="24"/>
        </w:rPr>
        <w:t>452 614 20-4- Uszczelnianie dachu</w:t>
      </w:r>
    </w:p>
    <w:p w:rsidR="00B1440B" w:rsidRPr="000948F6" w:rsidRDefault="00B1440B" w:rsidP="00EA3190">
      <w:pPr>
        <w:pStyle w:val="Akapitzlist"/>
        <w:spacing w:line="360" w:lineRule="auto"/>
        <w:rPr>
          <w:sz w:val="24"/>
          <w:szCs w:val="24"/>
        </w:rPr>
      </w:pPr>
      <w:r w:rsidRPr="000948F6">
        <w:rPr>
          <w:sz w:val="24"/>
          <w:szCs w:val="24"/>
        </w:rPr>
        <w:t>452 612 20-2- Malowanie dachów i inne roboty dotyczące okładzin</w:t>
      </w:r>
    </w:p>
    <w:p w:rsidR="00B1440B" w:rsidRPr="000948F6" w:rsidRDefault="00B1440B" w:rsidP="00EA3190">
      <w:pPr>
        <w:pStyle w:val="Akapitzlist"/>
        <w:spacing w:line="360" w:lineRule="auto"/>
        <w:rPr>
          <w:sz w:val="24"/>
          <w:szCs w:val="24"/>
        </w:rPr>
      </w:pPr>
      <w:r w:rsidRPr="000948F6">
        <w:rPr>
          <w:sz w:val="24"/>
          <w:szCs w:val="24"/>
        </w:rPr>
        <w:t>453 123 31- 1- Montaż instalacji piorunochronnej</w:t>
      </w:r>
    </w:p>
    <w:p w:rsidR="00B1440B" w:rsidRPr="00EA3190" w:rsidRDefault="00B1440B" w:rsidP="00EA3190">
      <w:pPr>
        <w:pStyle w:val="Akapitzlist"/>
        <w:numPr>
          <w:ilvl w:val="0"/>
          <w:numId w:val="1"/>
        </w:numPr>
        <w:spacing w:line="360" w:lineRule="auto"/>
        <w:rPr>
          <w:sz w:val="24"/>
          <w:szCs w:val="24"/>
        </w:rPr>
      </w:pPr>
      <w:r w:rsidRPr="00EA3190">
        <w:rPr>
          <w:sz w:val="24"/>
          <w:szCs w:val="24"/>
        </w:rPr>
        <w:t>Przedmiotem niniejszego p</w:t>
      </w:r>
      <w:r w:rsidR="00A200AE">
        <w:rPr>
          <w:sz w:val="24"/>
          <w:szCs w:val="24"/>
        </w:rPr>
        <w:t xml:space="preserve">ostępowania jest modernizacja, uszczelnianie oraz </w:t>
      </w:r>
      <w:r w:rsidRPr="00EA3190">
        <w:rPr>
          <w:sz w:val="24"/>
          <w:szCs w:val="24"/>
        </w:rPr>
        <w:t>uzyskanie powierzchni refleksyjnej na całej powierzchni dachu</w:t>
      </w:r>
      <w:r w:rsidR="00A200AE">
        <w:rPr>
          <w:sz w:val="24"/>
          <w:szCs w:val="24"/>
        </w:rPr>
        <w:t xml:space="preserve"> w budynku Powiatowego Urzędu Pracy w Łodzi przy ul. Milionowej 91 w Łodzi</w:t>
      </w:r>
      <w:r w:rsidRPr="00EA3190">
        <w:rPr>
          <w:sz w:val="24"/>
          <w:szCs w:val="24"/>
        </w:rPr>
        <w:t>.</w:t>
      </w:r>
    </w:p>
    <w:p w:rsidR="00B1440B" w:rsidRPr="00EA3190" w:rsidRDefault="00B1440B" w:rsidP="00EA3190">
      <w:pPr>
        <w:pStyle w:val="Akapitzlist"/>
        <w:spacing w:line="360" w:lineRule="auto"/>
        <w:rPr>
          <w:sz w:val="24"/>
          <w:szCs w:val="24"/>
        </w:rPr>
      </w:pPr>
      <w:r w:rsidRPr="00EA3190">
        <w:rPr>
          <w:sz w:val="24"/>
          <w:szCs w:val="24"/>
        </w:rPr>
        <w:t xml:space="preserve">Zamówienie obejmuje: </w:t>
      </w:r>
    </w:p>
    <w:p w:rsidR="00B1440B" w:rsidRPr="00EA3190" w:rsidRDefault="00B1440B" w:rsidP="00EA3190">
      <w:pPr>
        <w:pStyle w:val="Akapitzlist"/>
        <w:spacing w:line="360" w:lineRule="auto"/>
        <w:rPr>
          <w:sz w:val="24"/>
          <w:szCs w:val="24"/>
        </w:rPr>
      </w:pPr>
      <w:r w:rsidRPr="00EA3190">
        <w:rPr>
          <w:sz w:val="24"/>
          <w:szCs w:val="24"/>
        </w:rPr>
        <w:t>- Przygotowanie podłoża- mycie ciśnieniowe oraz zamiatanie pokrycia papowego; usuniecie ewentualnych pęcherzy;</w:t>
      </w:r>
    </w:p>
    <w:p w:rsidR="00B1440B" w:rsidRPr="00EA3190" w:rsidRDefault="00B1440B" w:rsidP="00EA3190">
      <w:pPr>
        <w:pStyle w:val="Akapitzlist"/>
        <w:spacing w:line="360" w:lineRule="auto"/>
        <w:rPr>
          <w:sz w:val="24"/>
          <w:szCs w:val="24"/>
        </w:rPr>
      </w:pPr>
      <w:r w:rsidRPr="00EA3190">
        <w:rPr>
          <w:sz w:val="24"/>
          <w:szCs w:val="24"/>
        </w:rPr>
        <w:t>- Zabezpieczenie i obróbka naroży, dylatacji, obróbek kominków wentylacyjnych, miejsc styku z podłożem innych elementów konstrukcji zainstalowanych na dachu poprzez wklejenie taśm i siatek systemowych;</w:t>
      </w:r>
    </w:p>
    <w:p w:rsidR="00B1440B" w:rsidRPr="00EA3190" w:rsidRDefault="00B1440B" w:rsidP="00EA3190">
      <w:pPr>
        <w:pStyle w:val="Akapitzlist"/>
        <w:spacing w:line="360" w:lineRule="auto"/>
        <w:rPr>
          <w:sz w:val="24"/>
          <w:szCs w:val="24"/>
        </w:rPr>
      </w:pPr>
      <w:r w:rsidRPr="00EA3190">
        <w:rPr>
          <w:sz w:val="24"/>
          <w:szCs w:val="24"/>
        </w:rPr>
        <w:t>- Wykonanie warstwy podkładowej, zbrojonej na całej powierzchni</w:t>
      </w:r>
      <w:r w:rsidR="00DE67A7">
        <w:rPr>
          <w:sz w:val="24"/>
          <w:szCs w:val="24"/>
        </w:rPr>
        <w:t xml:space="preserve"> dachu</w:t>
      </w:r>
      <w:r w:rsidRPr="00EA3190">
        <w:rPr>
          <w:sz w:val="24"/>
          <w:szCs w:val="24"/>
        </w:rPr>
        <w:t xml:space="preserve"> siatką techniczną (wzmacniającą),</w:t>
      </w:r>
    </w:p>
    <w:p w:rsidR="00B1440B" w:rsidRDefault="00B1440B" w:rsidP="00EA3190">
      <w:pPr>
        <w:pStyle w:val="Akapitzlist"/>
        <w:spacing w:line="360" w:lineRule="auto"/>
        <w:rPr>
          <w:sz w:val="24"/>
          <w:szCs w:val="24"/>
        </w:rPr>
      </w:pPr>
      <w:r w:rsidRPr="00EA3190">
        <w:rPr>
          <w:sz w:val="24"/>
          <w:szCs w:val="24"/>
        </w:rPr>
        <w:t>- Wykonanie warstwy nawierzchniowo – ochronnej posiadającej refleksyjność świetlną nie mniejszą niż 86% i współczynnika SRI nie mniejszy niż 107</w:t>
      </w:r>
      <w:r w:rsidR="00B55129">
        <w:rPr>
          <w:sz w:val="24"/>
          <w:szCs w:val="24"/>
        </w:rPr>
        <w:t>,</w:t>
      </w:r>
      <w:r w:rsidR="00DE67A7">
        <w:rPr>
          <w:sz w:val="24"/>
          <w:szCs w:val="24"/>
        </w:rPr>
        <w:t xml:space="preserve"> na całej powierzchni dachu,</w:t>
      </w:r>
    </w:p>
    <w:p w:rsidR="00B55129" w:rsidRPr="000948F6" w:rsidRDefault="00B55129" w:rsidP="00B55129">
      <w:pPr>
        <w:pStyle w:val="Akapitzlist"/>
        <w:spacing w:line="360" w:lineRule="auto"/>
        <w:rPr>
          <w:sz w:val="24"/>
          <w:szCs w:val="24"/>
        </w:rPr>
      </w:pPr>
      <w:r w:rsidRPr="000948F6">
        <w:rPr>
          <w:sz w:val="24"/>
          <w:szCs w:val="24"/>
        </w:rPr>
        <w:t>-  demontaż istniejącej instalacji odgromowej,</w:t>
      </w:r>
      <w:r w:rsidR="000948F6" w:rsidRPr="000948F6">
        <w:rPr>
          <w:sz w:val="24"/>
          <w:szCs w:val="24"/>
        </w:rPr>
        <w:br/>
      </w:r>
      <w:r w:rsidRPr="000948F6">
        <w:rPr>
          <w:sz w:val="24"/>
          <w:szCs w:val="24"/>
        </w:rPr>
        <w:t>- montaż nowej instalacji odgromowe</w:t>
      </w:r>
      <w:r w:rsidR="000948F6" w:rsidRPr="000948F6">
        <w:rPr>
          <w:sz w:val="24"/>
          <w:szCs w:val="24"/>
        </w:rPr>
        <w:t>j;</w:t>
      </w:r>
    </w:p>
    <w:p w:rsidR="00646598" w:rsidRPr="00EA3190" w:rsidRDefault="00646598" w:rsidP="00EA3190">
      <w:pPr>
        <w:pStyle w:val="Akapitzlist"/>
        <w:numPr>
          <w:ilvl w:val="0"/>
          <w:numId w:val="1"/>
        </w:numPr>
        <w:spacing w:line="360" w:lineRule="auto"/>
        <w:rPr>
          <w:sz w:val="24"/>
          <w:szCs w:val="24"/>
        </w:rPr>
      </w:pPr>
      <w:r w:rsidRPr="00EA3190">
        <w:rPr>
          <w:sz w:val="24"/>
          <w:szCs w:val="24"/>
        </w:rPr>
        <w:t>Rozwiązania równoważne:</w:t>
      </w:r>
    </w:p>
    <w:p w:rsidR="00646598" w:rsidRPr="00EA3190" w:rsidRDefault="00646598" w:rsidP="00EA3190">
      <w:pPr>
        <w:pStyle w:val="Akapitzlist"/>
        <w:spacing w:line="360" w:lineRule="auto"/>
        <w:rPr>
          <w:sz w:val="24"/>
          <w:szCs w:val="24"/>
        </w:rPr>
      </w:pPr>
      <w:r w:rsidRPr="00EA3190">
        <w:rPr>
          <w:sz w:val="24"/>
          <w:szCs w:val="24"/>
        </w:rPr>
        <w:t>Jeżeli Zamawiający w opisie przedmiotu zamówienia wskazał znaki towarowe, patenty lub pochodzenia,  źródła  lub  szczególny  proces,  który  charakteryzuje  produkty  lub  roboty budowlane dostarczane przez konkretnego wykonawcę, dopuszcza się zaoferowanie rozwiązań równoważnych opisanym, pod warunkiem zachowania przez nie takich samych minimalnych parametrów technicznych, jakościowych oraz funkcjonalnych itp.</w:t>
      </w:r>
    </w:p>
    <w:p w:rsidR="00646598" w:rsidRPr="00EA3190" w:rsidRDefault="00646598" w:rsidP="00EA3190">
      <w:pPr>
        <w:pStyle w:val="Akapitzlist"/>
        <w:spacing w:line="360" w:lineRule="auto"/>
        <w:rPr>
          <w:sz w:val="24"/>
          <w:szCs w:val="24"/>
        </w:rPr>
      </w:pPr>
      <w:r w:rsidRPr="00EA3190">
        <w:rPr>
          <w:sz w:val="24"/>
          <w:szCs w:val="24"/>
        </w:rPr>
        <w:lastRenderedPageBreak/>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B1440B" w:rsidRPr="00EA3190" w:rsidRDefault="00646598" w:rsidP="00EA3190">
      <w:pPr>
        <w:pStyle w:val="Akapitzlist"/>
        <w:spacing w:line="360" w:lineRule="auto"/>
        <w:rPr>
          <w:sz w:val="24"/>
          <w:szCs w:val="24"/>
        </w:rPr>
      </w:pPr>
      <w:r w:rsidRPr="00EA3190">
        <w:rPr>
          <w:sz w:val="24"/>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EA3190">
        <w:rPr>
          <w:sz w:val="24"/>
          <w:szCs w:val="24"/>
        </w:rPr>
        <w:t>Pzp</w:t>
      </w:r>
      <w:proofErr w:type="spellEnd"/>
      <w:r w:rsidRPr="00EA3190">
        <w:rPr>
          <w:sz w:val="24"/>
          <w:szCs w:val="24"/>
        </w:rPr>
        <w:t>,  Zamawiający  dopuszcza  rozwiązania równoważne.</w:t>
      </w:r>
      <w:r w:rsidRPr="00EA3190">
        <w:rPr>
          <w:sz w:val="24"/>
          <w:szCs w:val="24"/>
        </w:rPr>
        <w:br/>
      </w:r>
      <w:bookmarkStart w:id="1" w:name="_Hlk75087327"/>
      <w:r w:rsidRPr="00EA3190">
        <w:rPr>
          <w:sz w:val="24"/>
          <w:szCs w:val="24"/>
        </w:rPr>
        <w:t xml:space="preserve">Wszelkie    użyte    w specyfikacji    technicznej i przedmiarze  znaki  handlowe,  towarowe,  nazwy  modeli,  numery  katalogowe  służą jedynie   do   określenia   cech   technicznych   i   jakościowych   materiałów   a   nie wskazaniem producenta. Zamawiający  dopuszcza  składanie  ofert  z  zastosowaniem  innych  materiałów  niż określone    w    dokumentacji    projektowej    o    nie    gorszych    parametrach    </w:t>
      </w:r>
      <w:r w:rsidR="00D42B09">
        <w:rPr>
          <w:sz w:val="24"/>
          <w:szCs w:val="24"/>
        </w:rPr>
        <w:br/>
      </w:r>
      <w:r w:rsidRPr="00EA3190">
        <w:rPr>
          <w:sz w:val="24"/>
          <w:szCs w:val="24"/>
        </w:rPr>
        <w:t>od zaprojektowanych i jakości potwierdzonej certyfikatem. Użyte materiały winne być w I  gatunku  jakościowym  i  wymiarowym,  posiadające  odpowiednie  dopuszczenia  do stosowania w budownictwie i zapewniające sprawność eksploatacyjną.</w:t>
      </w:r>
      <w:bookmarkEnd w:id="1"/>
    </w:p>
    <w:p w:rsidR="00646598" w:rsidRPr="00EA3190" w:rsidRDefault="00646598" w:rsidP="00EA3190">
      <w:pPr>
        <w:pStyle w:val="Akapitzlist"/>
        <w:numPr>
          <w:ilvl w:val="0"/>
          <w:numId w:val="1"/>
        </w:numPr>
        <w:spacing w:line="360" w:lineRule="auto"/>
        <w:rPr>
          <w:sz w:val="24"/>
          <w:szCs w:val="24"/>
        </w:rPr>
      </w:pPr>
      <w:r w:rsidRPr="00EA3190">
        <w:rPr>
          <w:sz w:val="24"/>
          <w:szCs w:val="24"/>
        </w:rPr>
        <w:t xml:space="preserve">Na podstawie art. 95 ustawy Prawo zamówień publicznych, Zamawiający wymaga zatrudnienia przez Wykonawcę lub Podwykonawcę oraz dalszych Podwykonawców na podstawie stosunku pracy, osób wykonujących czynności związane z wykonaniem zamówienia Zamawiający wymaga, aby czynności polegające na faktycznym wykonywaniu prac, o ile nie są (będą) wykonywane przez daną osobę w ramach prowadzonej przez nią działalności gospodarczej, były wykonywane przez osoby zatrudnione przez Wykonawcę lub Podwykonawcę na podstawie umowy o pracę. </w:t>
      </w:r>
    </w:p>
    <w:p w:rsidR="00646598" w:rsidRPr="00EA3190" w:rsidRDefault="00646598" w:rsidP="00EA3190">
      <w:pPr>
        <w:pStyle w:val="Akapitzlist"/>
        <w:numPr>
          <w:ilvl w:val="0"/>
          <w:numId w:val="1"/>
        </w:numPr>
        <w:spacing w:line="360" w:lineRule="auto"/>
        <w:rPr>
          <w:sz w:val="24"/>
          <w:szCs w:val="24"/>
        </w:rPr>
      </w:pPr>
      <w:r w:rsidRPr="00EA3190">
        <w:rPr>
          <w:sz w:val="24"/>
          <w:szCs w:val="24"/>
        </w:rPr>
        <w:t xml:space="preserve">Wykonawca udziela gwarancji i rękojmi na wykonane roboty budowlane na okres 60 miesięcy (kryterium oceny ofert).  </w:t>
      </w:r>
    </w:p>
    <w:p w:rsidR="0087205E" w:rsidRPr="0087205E" w:rsidRDefault="0087205E" w:rsidP="0087205E">
      <w:pPr>
        <w:pStyle w:val="Akapitzlist"/>
        <w:numPr>
          <w:ilvl w:val="0"/>
          <w:numId w:val="1"/>
        </w:numPr>
        <w:spacing w:line="360" w:lineRule="auto"/>
        <w:rPr>
          <w:sz w:val="24"/>
          <w:szCs w:val="24"/>
        </w:rPr>
      </w:pPr>
      <w:r w:rsidRPr="0087205E">
        <w:rPr>
          <w:sz w:val="24"/>
          <w:szCs w:val="24"/>
        </w:rPr>
        <w:t xml:space="preserve">Zamawiający nie przewiduje przeprowadzenia przez Wykonawcę wizji lokalnej </w:t>
      </w:r>
    </w:p>
    <w:p w:rsidR="0087205E" w:rsidRPr="0087205E" w:rsidRDefault="0087205E" w:rsidP="0087205E">
      <w:pPr>
        <w:pStyle w:val="Akapitzlist"/>
        <w:spacing w:line="360" w:lineRule="auto"/>
        <w:rPr>
          <w:sz w:val="24"/>
          <w:szCs w:val="24"/>
        </w:rPr>
      </w:pPr>
      <w:r w:rsidRPr="0087205E">
        <w:rPr>
          <w:sz w:val="24"/>
          <w:szCs w:val="24"/>
        </w:rPr>
        <w:t xml:space="preserve">lub sprawdzenia przez niego dokumentów niezbędnych do realizacji zamówienia, </w:t>
      </w:r>
    </w:p>
    <w:p w:rsidR="0087205E" w:rsidRPr="0087205E" w:rsidRDefault="0087205E" w:rsidP="0087205E">
      <w:pPr>
        <w:pStyle w:val="Akapitzlist"/>
        <w:spacing w:line="360" w:lineRule="auto"/>
        <w:rPr>
          <w:sz w:val="24"/>
          <w:szCs w:val="24"/>
        </w:rPr>
      </w:pPr>
      <w:r w:rsidRPr="0087205E">
        <w:rPr>
          <w:sz w:val="24"/>
          <w:szCs w:val="24"/>
        </w:rPr>
        <w:t>o których mowa w art. 131 ust. 2.</w:t>
      </w:r>
    </w:p>
    <w:p w:rsidR="00B1440B" w:rsidRPr="00D42B09" w:rsidRDefault="00D42B09" w:rsidP="00D42B09">
      <w:pPr>
        <w:pStyle w:val="Akapitzlist"/>
        <w:numPr>
          <w:ilvl w:val="0"/>
          <w:numId w:val="1"/>
        </w:numPr>
        <w:spacing w:line="360" w:lineRule="auto"/>
        <w:rPr>
          <w:sz w:val="24"/>
          <w:szCs w:val="24"/>
        </w:rPr>
      </w:pPr>
      <w:r>
        <w:rPr>
          <w:sz w:val="24"/>
          <w:szCs w:val="24"/>
        </w:rPr>
        <w:t xml:space="preserve">Termin realizacji zamówienia: </w:t>
      </w:r>
      <w:r w:rsidR="00EC6CF1">
        <w:rPr>
          <w:sz w:val="24"/>
          <w:szCs w:val="24"/>
        </w:rPr>
        <w:t>35</w:t>
      </w:r>
      <w:r>
        <w:rPr>
          <w:sz w:val="24"/>
          <w:szCs w:val="24"/>
        </w:rPr>
        <w:t xml:space="preserve"> dni od dnia protokolarnego przekazania placu budowy.</w:t>
      </w:r>
    </w:p>
    <w:sectPr w:rsidR="00B1440B" w:rsidRPr="00D42B09" w:rsidSect="00652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511DE"/>
    <w:multiLevelType w:val="hybridMultilevel"/>
    <w:tmpl w:val="E738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0B"/>
    <w:rsid w:val="00064649"/>
    <w:rsid w:val="000948F6"/>
    <w:rsid w:val="002848FE"/>
    <w:rsid w:val="003B3151"/>
    <w:rsid w:val="00444F30"/>
    <w:rsid w:val="00646598"/>
    <w:rsid w:val="00652F65"/>
    <w:rsid w:val="006A6540"/>
    <w:rsid w:val="00842866"/>
    <w:rsid w:val="0087205E"/>
    <w:rsid w:val="009E304C"/>
    <w:rsid w:val="00A200AE"/>
    <w:rsid w:val="00B1440B"/>
    <w:rsid w:val="00B55129"/>
    <w:rsid w:val="00B974CC"/>
    <w:rsid w:val="00D42B09"/>
    <w:rsid w:val="00DE67A7"/>
    <w:rsid w:val="00E27B90"/>
    <w:rsid w:val="00EA3190"/>
    <w:rsid w:val="00EC6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C066"/>
  <w15:docId w15:val="{E83C0A12-027E-4010-A322-ED1AD057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52F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440B"/>
    <w:pPr>
      <w:ind w:left="720"/>
      <w:contextualSpacing/>
    </w:pPr>
  </w:style>
  <w:style w:type="paragraph" w:styleId="Tekstdymka">
    <w:name w:val="Balloon Text"/>
    <w:basedOn w:val="Normalny"/>
    <w:link w:val="TekstdymkaZnak"/>
    <w:uiPriority w:val="99"/>
    <w:semiHidden/>
    <w:unhideWhenUsed/>
    <w:rsid w:val="000646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538</Words>
  <Characters>3230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 nr 1</vt:lpstr>
    </vt:vector>
  </TitlesOfParts>
  <Company>Urząd Miasta Łodzi</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1</dc:title>
  <dc:creator>Aleksandra Pancer</dc:creator>
  <cp:lastModifiedBy>Aleksandra Pancer</cp:lastModifiedBy>
  <cp:revision>6</cp:revision>
  <cp:lastPrinted>2021-08-11T08:55:00Z</cp:lastPrinted>
  <dcterms:created xsi:type="dcterms:W3CDTF">2021-07-07T05:53:00Z</dcterms:created>
  <dcterms:modified xsi:type="dcterms:W3CDTF">2021-08-11T08:56:00Z</dcterms:modified>
</cp:coreProperties>
</file>